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auto"/>
        <w:spacing w:line="360" w:lineRule="auto"/>
        <w:ind w:firstLine="0" w:firstLineChars="0"/>
        <w:jc w:val="center"/>
        <w:rPr>
          <w:rFonts w:ascii="宋体" w:hAnsi="宋体"/>
          <w:b/>
          <w:color w:val="auto"/>
          <w:sz w:val="44"/>
          <w:szCs w:val="44"/>
          <w:highlight w:val="none"/>
        </w:rPr>
      </w:pPr>
      <w:r>
        <w:rPr>
          <w:rFonts w:hint="eastAsia" w:ascii="宋体" w:hAnsi="宋体"/>
          <w:b/>
          <w:color w:val="auto"/>
          <w:sz w:val="44"/>
          <w:szCs w:val="44"/>
          <w:highlight w:val="none"/>
          <w:lang w:val="en-US" w:eastAsia="zh-CN"/>
        </w:rPr>
        <w:t>附件：</w:t>
      </w:r>
      <w:r>
        <w:rPr>
          <w:rFonts w:hint="eastAsia" w:ascii="宋体" w:hAnsi="宋体"/>
          <w:b/>
          <w:color w:val="auto"/>
          <w:sz w:val="44"/>
          <w:szCs w:val="44"/>
          <w:highlight w:val="none"/>
        </w:rPr>
        <w:t>用户需求书</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汕头大学精神卫生中心本次检查检验结果互认接口服务需遵循《关于全面开展广东省检查检验结果互认共享平台应用推广工作的通知》与《广东省检查检验结果互认共享平台技术方案（试行）（V1.5）》相关要求进行建设。项目建成后，要与现有的系统互联互通，要与汕头市卫健平台实现互联互通，实现互操作。在</w:t>
      </w:r>
      <w:r>
        <w:rPr>
          <w:rFonts w:hint="eastAsia" w:ascii="宋体" w:hAnsi="宋体" w:eastAsia="宋体" w:cs="宋体"/>
          <w:color w:val="auto"/>
          <w:sz w:val="21"/>
          <w:szCs w:val="21"/>
          <w:highlight w:val="none"/>
          <w:lang w:val="en-US" w:eastAsia="zh-CN"/>
        </w:rPr>
        <w:t>规划</w:t>
      </w:r>
      <w:r>
        <w:rPr>
          <w:rFonts w:hint="eastAsia" w:ascii="宋体" w:hAnsi="宋体" w:eastAsia="宋体" w:cs="宋体"/>
          <w:color w:val="auto"/>
          <w:sz w:val="21"/>
          <w:szCs w:val="21"/>
          <w:highlight w:val="none"/>
        </w:rPr>
        <w:t>系统间互联</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时，要根据我院现有的集成平台和通信平台做适应性调整。</w:t>
      </w:r>
      <w:r>
        <w:rPr>
          <w:rFonts w:hint="eastAsia" w:ascii="宋体" w:hAnsi="宋体" w:eastAsia="宋体" w:cs="宋体"/>
          <w:color w:val="auto"/>
          <w:sz w:val="21"/>
          <w:szCs w:val="21"/>
          <w:highlight w:val="none"/>
          <w:lang w:val="en-US" w:eastAsia="zh-CN"/>
        </w:rPr>
        <w:t>运行日志需要加密保存，防止出现信息泄露；需要满足五级电子病历应用水平分级评价的测</w:t>
      </w:r>
      <w:bookmarkStart w:id="0" w:name="_GoBack"/>
      <w:bookmarkEnd w:id="0"/>
      <w:r>
        <w:rPr>
          <w:rFonts w:hint="eastAsia" w:ascii="宋体" w:hAnsi="宋体" w:eastAsia="宋体" w:cs="宋体"/>
          <w:color w:val="auto"/>
          <w:sz w:val="21"/>
          <w:szCs w:val="21"/>
          <w:highlight w:val="none"/>
          <w:lang w:val="en-US" w:eastAsia="zh-CN"/>
        </w:rPr>
        <w:t>评要求；需要满足互联互通四甲测评要求；需要满足智慧服务三级测评要求；需要满足智慧管理三级测评要求；需要满足三级信息安全等级保护测评要求。如果不满足要求，需要整改到符合为止。满足信创、国产化的建设方案优先考虑。</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一、互认项目目录</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检验结果互认项目在《广东省卫生健康委办公室关于推动检查检验结果互认质量控制工作的通知》（粤卫办医函〔2019〕55号）的基础上，结合我省的质量控制工作开展情况进一步完善，选取了114个结果相对稳定、费用较高、对疾病诊断治疗短期影响不大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rPr>
        <w:t>目录见附表</w:t>
      </w:r>
      <w:r>
        <w:rPr>
          <w:rFonts w:hint="eastAsia" w:ascii="宋体" w:hAnsi="宋体" w:eastAsia="宋体" w:cs="宋体"/>
          <w:color w:val="auto"/>
          <w:sz w:val="21"/>
          <w:szCs w:val="21"/>
          <w:highlight w:val="none"/>
          <w:lang w:val="en-US" w:eastAsia="zh-CN"/>
        </w:rPr>
        <w:t xml:space="preserve"> 1 广东省临床检查检验结果互认项目目录（试行）</w:t>
      </w:r>
      <w:r>
        <w:rPr>
          <w:rFonts w:hint="eastAsia" w:ascii="宋体" w:hAnsi="宋体" w:eastAsia="宋体" w:cs="宋体"/>
          <w:color w:val="auto"/>
          <w:sz w:val="21"/>
          <w:szCs w:val="21"/>
          <w:highlight w:val="none"/>
        </w:rPr>
        <w:t>，并根据国家基本医疗保险诊疗目录编码对互认项目逐一进行编码。</w:t>
      </w:r>
    </w:p>
    <w:p>
      <w:pPr>
        <w:pStyle w:val="6"/>
        <w:keepNext w:val="0"/>
        <w:keepLines w:val="0"/>
        <w:pageBreakBefore w:val="0"/>
        <w:widowControl/>
        <w:shd w:val="clear" w:color="auto" w:fill="auto"/>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二、互认规则</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在检查检验结果互认共享平台支撑下的互认工作应遵循以下规则：</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纳入互认项目目录、标注了互认标志的，在互认标志所对应的地区内所有医疗机构可进行跨级别互认。</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纳入互认项目目录，但尚未标注互认标志的检查检验项目互认规则如下：一是同级互认，即同级医疗机构之间检查检验结果可进行互认；二是跨级互认，即低级别医疗机构可互认高级别医疗机构出具检查检验结果；三是紧密型医联体内可进行互认，即县域医共体内、紧密型城市医联体内各医疗机构的检查检验结果互认；四是医疗机构与第三方检查检验机构可进行互认，即各级医疗机构可互认独立第三方医学检测机构的检查检验结果。</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保证质量与安全的前提下，诊治医生对在互认项目目录内，规范完整的检查检验报告和相应影像资料（包括可以在检查检验结果互认共享平台调阅的，或提供按规定可以复制的检查报告和相应影像资料的）原则上予以认可，一般不再进行重复检查。省检查检验结果互认共享平台设置提醒功能并嵌入诊疗流程，对互认项目目录内可互认的、14天内的检验结果、30天内的检查结果设置互认提醒。</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在诊疗过程中，由诊治医生根据患者的具体病情判断是否进行互认。接受互认的外院检查检验结果，应采用信息化技术在病历中予以记录，包括机构名称、检查日期、档案号、相关检查检验数据等；住院患者的检查检验互认资料应在病案中予以留存。对因存在不互认情形的检查检验结果，应向患者或其亲属充分告知。</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（五）有下列情形之一者，可不进行互认：</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1.因病情变化，检查检验结果与患者临床表现、疾病诊断不符，难以满足临床诊疗需求的；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2.检查检验结果在疾病发展演变过程中变化较快的；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3.检查检验项目对于疾病诊疗意义重大的（如手术、输血等重大医疗措施前）；</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4.患者处于急诊、急救等紧急状态下的；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5.患者或其亲属要求做进一步检查检验的；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6.因疾病转归需连续对比观察的；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7.涉及司法、伤残及病退等鉴定的；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8.其他情形确需复查的。</w:t>
      </w:r>
    </w:p>
    <w:p>
      <w:pPr>
        <w:pStyle w:val="6"/>
        <w:keepNext w:val="0"/>
        <w:keepLines w:val="0"/>
        <w:pageBreakBefore w:val="0"/>
        <w:widowControl/>
        <w:shd w:val="clear" w:color="auto" w:fill="auto"/>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三、接口列表</w:t>
      </w:r>
    </w:p>
    <w:p>
      <w:pPr>
        <w:pStyle w:val="6"/>
        <w:keepNext w:val="0"/>
        <w:keepLines w:val="0"/>
        <w:pageBreakBefore w:val="0"/>
        <w:widowControl/>
        <w:shd w:val="clear" w:color="auto" w:fill="auto"/>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需满足检验检查互认的统一九大接口改造，列表如下：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序号</w:t>
            </w:r>
          </w:p>
        </w:tc>
        <w:tc>
          <w:tcPr>
            <w:tcW w:w="344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接口名称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344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用户认证并获取token接口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344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GB"/>
              </w:rPr>
              <w:t>实时上传检验数据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344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GB"/>
              </w:rPr>
              <w:t>撤销上传的检验数据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344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GB"/>
              </w:rPr>
              <w:t>实时上传检查数据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344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GB"/>
              </w:rPr>
              <w:t>撤销上传的检查数据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344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GB"/>
              </w:rPr>
              <w:t>实时上传患者信息数据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344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GB"/>
              </w:rPr>
              <w:t>实时上</w:t>
            </w:r>
            <w:r>
              <w:rPr>
                <w:rFonts w:hint="eastAsia" w:ascii="宋体" w:hAnsi="宋体" w:eastAsia="宋体" w:cs="宋体"/>
                <w:color w:val="auto"/>
                <w:kern w:val="0"/>
                <w:sz w:val="21"/>
                <w:szCs w:val="21"/>
                <w:highlight w:val="none"/>
                <w:lang w:val="en-US" w:eastAsia="zh-CN"/>
              </w:rPr>
              <w:t>传</w:t>
            </w:r>
            <w:r>
              <w:rPr>
                <w:rFonts w:hint="eastAsia" w:ascii="宋体" w:hAnsi="宋体" w:eastAsia="宋体" w:cs="宋体"/>
                <w:color w:val="auto"/>
                <w:kern w:val="0"/>
                <w:sz w:val="21"/>
                <w:szCs w:val="21"/>
                <w:highlight w:val="none"/>
              </w:rPr>
              <w:t>检验检查报告PDF文件</w:t>
            </w:r>
            <w:r>
              <w:rPr>
                <w:rFonts w:hint="eastAsia" w:ascii="宋体" w:hAnsi="宋体" w:eastAsia="宋体" w:cs="宋体"/>
                <w:color w:val="auto"/>
                <w:kern w:val="0"/>
                <w:sz w:val="21"/>
                <w:szCs w:val="21"/>
                <w:highlight w:val="none"/>
                <w:lang w:val="en-GB"/>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w:t>
            </w:r>
          </w:p>
        </w:tc>
        <w:tc>
          <w:tcPr>
            <w:tcW w:w="344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GB"/>
              </w:rPr>
            </w:pPr>
            <w:r>
              <w:rPr>
                <w:rFonts w:hint="eastAsia" w:ascii="宋体" w:hAnsi="宋体" w:eastAsia="宋体" w:cs="宋体"/>
                <w:color w:val="auto"/>
                <w:kern w:val="0"/>
                <w:sz w:val="21"/>
                <w:szCs w:val="21"/>
                <w:highlight w:val="none"/>
                <w:lang w:val="en-GB"/>
              </w:rPr>
              <w:t>实时上传患医院的科室字典数据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w:t>
            </w:r>
          </w:p>
        </w:tc>
        <w:tc>
          <w:tcPr>
            <w:tcW w:w="344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GB"/>
              </w:rPr>
            </w:pPr>
            <w:r>
              <w:rPr>
                <w:rFonts w:hint="eastAsia" w:ascii="宋体" w:hAnsi="宋体" w:eastAsia="宋体" w:cs="宋体"/>
                <w:color w:val="auto"/>
                <w:kern w:val="0"/>
                <w:sz w:val="21"/>
                <w:szCs w:val="21"/>
                <w:highlight w:val="none"/>
                <w:lang w:val="en-GB"/>
              </w:rPr>
              <w:t>实时上传医疗机构人员字典数据</w:t>
            </w:r>
          </w:p>
        </w:tc>
      </w:tr>
    </w:tbl>
    <w:p>
      <w:pPr>
        <w:pStyle w:val="6"/>
        <w:keepNext w:val="0"/>
        <w:keepLines w:val="0"/>
        <w:pageBreakBefore w:val="0"/>
        <w:widowControl/>
        <w:shd w:val="clear" w:color="auto" w:fill="auto"/>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四、应用场景</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门诊场景：</w:t>
      </w:r>
    </w:p>
    <w:p>
      <w:pPr>
        <w:pStyle w:val="5"/>
        <w:keepNext w:val="0"/>
        <w:keepLines w:val="0"/>
        <w:pageBreakBefore w:val="0"/>
        <w:numPr>
          <w:ilvl w:val="0"/>
          <w:numId w:val="1"/>
        </w:numPr>
        <w:shd w:val="clear" w:color="auto" w:fill="auto"/>
        <w:kinsoku/>
        <w:wordWrap/>
        <w:overflowPunct/>
        <w:topLinePunct w:val="0"/>
        <w:autoSpaceDE/>
        <w:autoSpaceDN/>
        <w:bidi w:val="0"/>
        <w:adjustRightInd/>
        <w:snapToGrid/>
        <w:spacing w:line="360" w:lineRule="auto"/>
        <w:ind w:left="36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门诊患者前往医院就诊并挂号</w:t>
      </w:r>
    </w:p>
    <w:p>
      <w:pPr>
        <w:pStyle w:val="5"/>
        <w:keepNext w:val="0"/>
        <w:keepLines w:val="0"/>
        <w:pageBreakBefore w:val="0"/>
        <w:numPr>
          <w:ilvl w:val="0"/>
          <w:numId w:val="1"/>
        </w:numPr>
        <w:shd w:val="clear" w:color="auto" w:fill="auto"/>
        <w:kinsoku/>
        <w:wordWrap/>
        <w:overflowPunct/>
        <w:topLinePunct w:val="0"/>
        <w:autoSpaceDE/>
        <w:autoSpaceDN/>
        <w:bidi w:val="0"/>
        <w:adjustRightInd/>
        <w:snapToGrid/>
        <w:spacing w:line="360" w:lineRule="auto"/>
        <w:ind w:left="36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门诊患者前往医生工作站就诊</w:t>
      </w:r>
    </w:p>
    <w:p>
      <w:pPr>
        <w:pStyle w:val="5"/>
        <w:keepNext w:val="0"/>
        <w:keepLines w:val="0"/>
        <w:pageBreakBefore w:val="0"/>
        <w:numPr>
          <w:ilvl w:val="0"/>
          <w:numId w:val="1"/>
        </w:numPr>
        <w:shd w:val="clear" w:color="auto" w:fill="auto"/>
        <w:kinsoku/>
        <w:wordWrap/>
        <w:overflowPunct/>
        <w:topLinePunct w:val="0"/>
        <w:autoSpaceDE/>
        <w:autoSpaceDN/>
        <w:bidi w:val="0"/>
        <w:adjustRightInd/>
        <w:snapToGrid/>
        <w:spacing w:line="360" w:lineRule="auto"/>
        <w:ind w:left="36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门诊医生根据实际情况发起调阅检验检查互认结果，若认可此结果，则可在本次就诊插入引用已有互认结果；若不认可此结果，录入相应不互认理由。医生重新开立检查检验单</w:t>
      </w:r>
    </w:p>
    <w:p>
      <w:pPr>
        <w:pStyle w:val="5"/>
        <w:keepNext w:val="0"/>
        <w:keepLines w:val="0"/>
        <w:pageBreakBefore w:val="0"/>
        <w:numPr>
          <w:ilvl w:val="0"/>
          <w:numId w:val="1"/>
        </w:numPr>
        <w:shd w:val="clear" w:color="auto" w:fill="auto"/>
        <w:kinsoku/>
        <w:wordWrap/>
        <w:overflowPunct/>
        <w:topLinePunct w:val="0"/>
        <w:autoSpaceDE/>
        <w:autoSpaceDN/>
        <w:bidi w:val="0"/>
        <w:adjustRightInd/>
        <w:snapToGrid/>
        <w:spacing w:line="360" w:lineRule="auto"/>
        <w:ind w:left="36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新开立的检验检查报告将在出具完毕后实时通过接口方式传输给市互认平台。</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住院场景：</w:t>
      </w:r>
    </w:p>
    <w:p>
      <w:pPr>
        <w:pStyle w:val="5"/>
        <w:keepNext w:val="0"/>
        <w:keepLines w:val="0"/>
        <w:pageBreakBefore w:val="0"/>
        <w:numPr>
          <w:ilvl w:val="0"/>
          <w:numId w:val="2"/>
        </w:numPr>
        <w:shd w:val="clear" w:color="auto" w:fill="auto"/>
        <w:kinsoku/>
        <w:wordWrap/>
        <w:overflowPunct/>
        <w:topLinePunct w:val="0"/>
        <w:autoSpaceDE/>
        <w:autoSpaceDN/>
        <w:bidi w:val="0"/>
        <w:adjustRightInd/>
        <w:snapToGrid/>
        <w:spacing w:line="360" w:lineRule="auto"/>
        <w:ind w:left="36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住院医生接诊住院患者</w:t>
      </w:r>
    </w:p>
    <w:p>
      <w:pPr>
        <w:pStyle w:val="5"/>
        <w:keepNext w:val="0"/>
        <w:keepLines w:val="0"/>
        <w:pageBreakBefore w:val="0"/>
        <w:numPr>
          <w:ilvl w:val="0"/>
          <w:numId w:val="2"/>
        </w:numPr>
        <w:shd w:val="clear" w:color="auto" w:fill="auto"/>
        <w:kinsoku/>
        <w:wordWrap/>
        <w:overflowPunct/>
        <w:topLinePunct w:val="0"/>
        <w:autoSpaceDE/>
        <w:autoSpaceDN/>
        <w:bidi w:val="0"/>
        <w:adjustRightInd/>
        <w:snapToGrid/>
        <w:spacing w:line="360" w:lineRule="auto"/>
        <w:ind w:left="36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住院医生根据实际情况发起发起调阅检验检查互认结果，若认可此结果，则可在本次住院插入引用已有互认结果；若不认可此结果，录入相应不互认理由。医生重新开立检查检验单</w:t>
      </w:r>
      <w:r>
        <w:rPr>
          <w:rFonts w:hint="eastAsia" w:ascii="宋体" w:hAnsi="宋体" w:eastAsia="宋体" w:cs="宋体"/>
          <w:color w:val="auto"/>
          <w:sz w:val="21"/>
          <w:szCs w:val="21"/>
          <w:highlight w:val="none"/>
          <w:lang w:eastAsia="zh-CN"/>
        </w:rPr>
        <w:t>。</w:t>
      </w:r>
    </w:p>
    <w:p>
      <w:pPr>
        <w:pStyle w:val="5"/>
        <w:keepNext w:val="0"/>
        <w:keepLines w:val="0"/>
        <w:pageBreakBefore w:val="0"/>
        <w:numPr>
          <w:ilvl w:val="0"/>
          <w:numId w:val="2"/>
        </w:numPr>
        <w:shd w:val="clear" w:color="auto" w:fill="auto"/>
        <w:kinsoku/>
        <w:wordWrap/>
        <w:overflowPunct/>
        <w:topLinePunct w:val="0"/>
        <w:autoSpaceDE/>
        <w:autoSpaceDN/>
        <w:bidi w:val="0"/>
        <w:adjustRightInd/>
        <w:snapToGrid/>
        <w:spacing w:line="360" w:lineRule="auto"/>
        <w:ind w:left="36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新开立的检验检查报告将在出具完毕后实时通过接口方式传输给市互认平台。</w:t>
      </w:r>
    </w:p>
    <w:p>
      <w:pPr>
        <w:pStyle w:val="6"/>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商务要求</w:t>
      </w:r>
    </w:p>
    <w:p>
      <w:pPr>
        <w:pStyle w:val="6"/>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1.报价要求</w:t>
      </w:r>
    </w:p>
    <w:p>
      <w:pPr>
        <w:pStyle w:val="6"/>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响应供应商报价总价为完成本项目所需的全部费用的总和，包括人工、材料、维护管理、项目措施、税费、售后服务、相关部门验收及保修期内的维护保养等所有费用，以及响应供应商认为必要的其他货物、材料、工程、服务</w:t>
      </w:r>
      <w:r>
        <w:rPr>
          <w:rFonts w:hint="eastAsia" w:ascii="宋体" w:hAnsi="宋体" w:eastAsia="宋体" w:cs="宋体"/>
          <w:b w:val="0"/>
          <w:bCs w:val="0"/>
          <w:color w:val="auto"/>
          <w:sz w:val="21"/>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position w:val="0"/>
          <w:sz w:val="21"/>
          <w:szCs w:val="20"/>
          <w:highlight w:val="none"/>
        </w:rPr>
        <w:t>（2）响应供应商应自行增加设备正常、合法、安全运行及使用所必须但</w:t>
      </w:r>
      <w:r>
        <w:rPr>
          <w:rFonts w:hint="eastAsia" w:ascii="宋体" w:hAnsi="宋体" w:eastAsia="宋体" w:cs="宋体"/>
          <w:color w:val="auto"/>
          <w:spacing w:val="0"/>
          <w:position w:val="0"/>
          <w:sz w:val="21"/>
          <w:szCs w:val="20"/>
          <w:highlight w:val="none"/>
          <w:lang w:eastAsia="zh-CN"/>
        </w:rPr>
        <w:t>磋商文件</w:t>
      </w:r>
      <w:r>
        <w:rPr>
          <w:rFonts w:hint="eastAsia" w:ascii="宋体" w:hAnsi="宋体" w:eastAsia="宋体" w:cs="宋体"/>
          <w:color w:val="auto"/>
          <w:spacing w:val="0"/>
          <w:position w:val="0"/>
          <w:sz w:val="21"/>
          <w:szCs w:val="20"/>
          <w:highlight w:val="none"/>
        </w:rPr>
        <w:t>没有</w:t>
      </w:r>
      <w:r>
        <w:rPr>
          <w:rFonts w:hint="eastAsia" w:ascii="宋体" w:hAnsi="宋体" w:eastAsia="宋体" w:cs="宋体"/>
          <w:color w:val="auto"/>
          <w:spacing w:val="0"/>
          <w:sz w:val="21"/>
          <w:szCs w:val="20"/>
          <w:highlight w:val="none"/>
        </w:rPr>
        <w:t>包含的所有设备、版权、专利等一切费用。</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position w:val="0"/>
          <w:sz w:val="21"/>
          <w:szCs w:val="20"/>
          <w:highlight w:val="none"/>
        </w:rPr>
        <w:t>2.完工时间：签订合同之后，</w:t>
      </w:r>
      <w:r>
        <w:rPr>
          <w:rFonts w:hint="eastAsia" w:ascii="宋体" w:hAnsi="宋体" w:eastAsia="宋体" w:cs="宋体"/>
          <w:color w:val="auto"/>
          <w:spacing w:val="0"/>
          <w:position w:val="0"/>
          <w:sz w:val="21"/>
          <w:szCs w:val="20"/>
          <w:highlight w:val="none"/>
          <w:lang w:eastAsia="zh-CN"/>
        </w:rPr>
        <w:t>1</w:t>
      </w:r>
      <w:r>
        <w:rPr>
          <w:rFonts w:hint="eastAsia" w:ascii="宋体" w:hAnsi="宋体" w:eastAsia="宋体" w:cs="宋体"/>
          <w:color w:val="auto"/>
          <w:spacing w:val="0"/>
          <w:position w:val="0"/>
          <w:sz w:val="21"/>
          <w:szCs w:val="20"/>
          <w:highlight w:val="none"/>
          <w:lang w:val="en-US" w:eastAsia="zh-CN"/>
        </w:rPr>
        <w:t>0个自然日内</w:t>
      </w:r>
      <w:r>
        <w:rPr>
          <w:rFonts w:hint="eastAsia" w:ascii="宋体" w:hAnsi="宋体" w:eastAsia="宋体" w:cs="宋体"/>
          <w:color w:val="auto"/>
          <w:spacing w:val="0"/>
          <w:position w:val="0"/>
          <w:sz w:val="21"/>
          <w:szCs w:val="20"/>
          <w:highlight w:val="none"/>
        </w:rPr>
        <w:t>完成项目建设并交付使用。</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3.服务地点：采购人指定地点。</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4.质量标准</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（1） 符合国家及本</w:t>
      </w:r>
      <w:r>
        <w:rPr>
          <w:rFonts w:hint="eastAsia" w:ascii="宋体" w:hAnsi="宋体" w:eastAsia="宋体" w:cs="宋体"/>
          <w:color w:val="auto"/>
          <w:spacing w:val="0"/>
          <w:sz w:val="21"/>
          <w:szCs w:val="20"/>
          <w:highlight w:val="none"/>
          <w:lang w:eastAsia="zh-CN"/>
        </w:rPr>
        <w:t>磋商文件</w:t>
      </w:r>
      <w:r>
        <w:rPr>
          <w:rFonts w:hint="eastAsia" w:ascii="宋体" w:hAnsi="宋体" w:eastAsia="宋体" w:cs="宋体"/>
          <w:color w:val="auto"/>
          <w:spacing w:val="0"/>
          <w:sz w:val="21"/>
          <w:szCs w:val="20"/>
          <w:highlight w:val="none"/>
        </w:rPr>
        <w:t>要求的有关质量验收规范标准。</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（2）成交供应商必须按照规定工作时间、质量要求完成项目建设。</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5. 验收要求</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(1) 验收应在采购人和成交供应商双方共同参加下进行。</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position w:val="0"/>
          <w:sz w:val="21"/>
          <w:szCs w:val="20"/>
          <w:highlight w:val="none"/>
        </w:rPr>
        <w:t>(2) 验收按国家有关的规定、规范进行。国家有强制性规定的项目验收，按国家规定执</w:t>
      </w:r>
      <w:r>
        <w:rPr>
          <w:rFonts w:hint="eastAsia" w:ascii="宋体" w:hAnsi="宋体" w:eastAsia="宋体" w:cs="宋体"/>
          <w:color w:val="auto"/>
          <w:spacing w:val="0"/>
          <w:sz w:val="21"/>
          <w:szCs w:val="20"/>
          <w:highlight w:val="none"/>
        </w:rPr>
        <w:t>行，验收费用由成交供应商承担，验收报告作为申请付款的凭证之一。</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position w:val="0"/>
          <w:sz w:val="21"/>
          <w:szCs w:val="20"/>
          <w:highlight w:val="none"/>
        </w:rPr>
        <w:t>(3) 验收过程中产生纠纷的，由质量技术监督部门认定的检测机构检测,如为成交供应商</w:t>
      </w:r>
      <w:r>
        <w:rPr>
          <w:rFonts w:hint="eastAsia" w:ascii="宋体" w:hAnsi="宋体" w:eastAsia="宋体" w:cs="宋体"/>
          <w:color w:val="auto"/>
          <w:spacing w:val="0"/>
          <w:sz w:val="21"/>
          <w:szCs w:val="20"/>
          <w:highlight w:val="none"/>
        </w:rPr>
        <w:t>原因造成的，由成交供应商承担检测费用；否则，由采购人承担。</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6.保管及保险</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position w:val="0"/>
          <w:sz w:val="21"/>
          <w:szCs w:val="20"/>
          <w:highlight w:val="none"/>
        </w:rPr>
        <w:t>(1) 投入的设备在现场的保管及保险由成交供应商负责，直至项目验收完毕；</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(2) 成交供应商负责其派出的现场服务人员人身意外保险及安全。</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7.培训</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position w:val="0"/>
          <w:sz w:val="21"/>
          <w:szCs w:val="20"/>
          <w:highlight w:val="none"/>
        </w:rPr>
        <w:t>为了使得采购人指定的员工熟练使用设备，保证设备良好运作，成交供应商应提供</w:t>
      </w:r>
      <w:r>
        <w:rPr>
          <w:rFonts w:hint="eastAsia" w:ascii="宋体" w:hAnsi="宋体" w:eastAsia="宋体" w:cs="宋体"/>
          <w:color w:val="auto"/>
          <w:spacing w:val="0"/>
          <w:sz w:val="21"/>
          <w:szCs w:val="20"/>
          <w:highlight w:val="none"/>
        </w:rPr>
        <w:t>免费培训服务计划，对操作和管理人员进行培训。</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8.质量保证及售后服务</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(1) 项目完成验收合格后起，提供 3 年免费系统维护。</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(2) 提供上门售后服务，并承担因此而产生的一切费用。</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9.付款方式：</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position w:val="0"/>
          <w:sz w:val="21"/>
          <w:szCs w:val="20"/>
          <w:highlight w:val="none"/>
        </w:rPr>
        <w:t>（1）</w:t>
      </w:r>
      <w:r>
        <w:rPr>
          <w:rFonts w:hint="eastAsia" w:ascii="宋体" w:hAnsi="宋体" w:eastAsia="宋体" w:cs="宋体"/>
          <w:color w:val="auto"/>
          <w:spacing w:val="0"/>
          <w:sz w:val="21"/>
          <w:szCs w:val="20"/>
          <w:highlight w:val="none"/>
          <w:lang w:val="en-US" w:eastAsia="zh-CN"/>
        </w:rPr>
        <w:t>合同签订后，甲方收到乙方提供的合法发票后5 个工作日内支付合同总金额的 50%。</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（2）</w:t>
      </w:r>
      <w:r>
        <w:rPr>
          <w:rFonts w:hint="eastAsia" w:ascii="宋体" w:hAnsi="宋体" w:eastAsia="宋体" w:cs="宋体"/>
          <w:color w:val="auto"/>
          <w:spacing w:val="0"/>
          <w:sz w:val="21"/>
          <w:szCs w:val="20"/>
          <w:highlight w:val="none"/>
          <w:lang w:val="en-US" w:eastAsia="zh-CN"/>
        </w:rPr>
        <w:t>验收合格后 ，甲方收到乙方提供的合法发票后15 日内支付合同总金额的 50%。</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注：收款方、出具发票方、合同卖方均必须与成交供应商名称一致。</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10.其它要求：</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sz w:val="21"/>
          <w:szCs w:val="20"/>
          <w:highlight w:val="none"/>
        </w:rPr>
      </w:pPr>
      <w:r>
        <w:rPr>
          <w:rFonts w:hint="eastAsia" w:ascii="宋体" w:hAnsi="宋体" w:eastAsia="宋体" w:cs="宋体"/>
          <w:color w:val="auto"/>
          <w:spacing w:val="0"/>
          <w:position w:val="0"/>
          <w:sz w:val="21"/>
          <w:szCs w:val="20"/>
          <w:highlight w:val="none"/>
        </w:rPr>
        <w:t>(1) 业主配合条件：响应供应商在磋商响应文件中要列明在项目实施过程中要求业主提</w:t>
      </w:r>
      <w:r>
        <w:rPr>
          <w:rFonts w:hint="eastAsia" w:ascii="宋体" w:hAnsi="宋体" w:eastAsia="宋体" w:cs="宋体"/>
          <w:color w:val="auto"/>
          <w:spacing w:val="0"/>
          <w:sz w:val="21"/>
          <w:szCs w:val="20"/>
          <w:highlight w:val="none"/>
        </w:rPr>
        <w:t>供的配合条件（如有）</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0"/>
          <w:highlight w:val="none"/>
        </w:rPr>
      </w:pPr>
      <w:r>
        <w:rPr>
          <w:rFonts w:hint="eastAsia" w:ascii="宋体" w:hAnsi="宋体" w:eastAsia="宋体" w:cs="宋体"/>
          <w:color w:val="auto"/>
          <w:spacing w:val="0"/>
          <w:sz w:val="21"/>
          <w:szCs w:val="20"/>
          <w:highlight w:val="none"/>
        </w:rPr>
        <w:t>(2) 如项目建设产生知识产权的，知识产权归采购人所有。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color w:val="auto"/>
          <w:spacing w:val="0"/>
          <w:sz w:val="21"/>
          <w:szCs w:val="20"/>
          <w:highlight w:val="none"/>
        </w:rPr>
        <w:t>(3) 成交供应商必须如约承担合同履行时所应该尽的一切保密义务。成交供应商对采购</w:t>
      </w:r>
      <w:r>
        <w:rPr>
          <w:rFonts w:hint="eastAsia" w:ascii="宋体" w:hAnsi="宋体" w:eastAsia="宋体" w:cs="宋体"/>
          <w:color w:val="auto"/>
          <w:sz w:val="21"/>
          <w:szCs w:val="20"/>
          <w:highlight w:val="none"/>
        </w:rPr>
        <w:t>人信息、项目实施过程中的资料、数据进行保密，未经采购人书面同</w:t>
      </w:r>
      <w:r>
        <w:rPr>
          <w:rFonts w:hint="eastAsia" w:ascii="宋体" w:hAnsi="宋体" w:eastAsia="宋体" w:cs="宋体"/>
          <w:color w:val="auto"/>
          <w:spacing w:val="0"/>
          <w:sz w:val="21"/>
          <w:szCs w:val="20"/>
          <w:highlight w:val="none"/>
        </w:rPr>
        <w:t>意不得泄露给</w:t>
      </w:r>
      <w:r>
        <w:rPr>
          <w:rFonts w:hint="eastAsia" w:ascii="宋体" w:hAnsi="宋体" w:eastAsia="宋体" w:cs="宋体"/>
          <w:color w:val="auto"/>
          <w:sz w:val="21"/>
          <w:szCs w:val="20"/>
          <w:highlight w:val="none"/>
        </w:rPr>
        <w:t>第三方，否则，采购人保留追究成交供应商法律责任的权利。保密责</w:t>
      </w:r>
      <w:r>
        <w:rPr>
          <w:rFonts w:hint="eastAsia" w:ascii="宋体" w:hAnsi="宋体" w:eastAsia="宋体" w:cs="宋体"/>
          <w:color w:val="auto"/>
          <w:spacing w:val="0"/>
          <w:sz w:val="21"/>
          <w:szCs w:val="20"/>
          <w:highlight w:val="none"/>
        </w:rPr>
        <w:t>任不因合同的中止或解除而失效。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2C3A3"/>
    <w:multiLevelType w:val="singleLevel"/>
    <w:tmpl w:val="A592C3A3"/>
    <w:lvl w:ilvl="0" w:tentative="0">
      <w:start w:val="5"/>
      <w:numFmt w:val="chineseCounting"/>
      <w:suff w:val="nothing"/>
      <w:lvlText w:val="%1、"/>
      <w:lvlJc w:val="left"/>
      <w:rPr>
        <w:rFonts w:hint="eastAsia"/>
      </w:rPr>
    </w:lvl>
  </w:abstractNum>
  <w:abstractNum w:abstractNumId="1">
    <w:nsid w:val="42F1745C"/>
    <w:multiLevelType w:val="singleLevel"/>
    <w:tmpl w:val="42F1745C"/>
    <w:lvl w:ilvl="0" w:tentative="0">
      <w:start w:val="1"/>
      <w:numFmt w:val="decimal"/>
      <w:lvlText w:val="%1."/>
      <w:lvlJc w:val="left"/>
      <w:pPr>
        <w:ind w:left="425" w:hanging="425"/>
      </w:pPr>
      <w:rPr>
        <w:rFonts w:hint="default"/>
      </w:rPr>
    </w:lvl>
  </w:abstractNum>
  <w:abstractNum w:abstractNumId="2">
    <w:nsid w:val="565A0C6D"/>
    <w:multiLevelType w:val="singleLevel"/>
    <w:tmpl w:val="565A0C6D"/>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NmMwZTg4ZWY4ZDUwMWEzZDU2MWM2OTNhYzkxMTAifQ=="/>
  </w:docVars>
  <w:rsids>
    <w:rsidRoot w:val="57C02811"/>
    <w:rsid w:val="57C0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0"/>
    <w:pPr>
      <w:widowControl w:val="0"/>
      <w:ind w:firstLine="420" w:firstLineChars="200"/>
      <w:jc w:val="both"/>
    </w:pPr>
    <w:rPr>
      <w:kern w:val="2"/>
    </w:rPr>
  </w:style>
  <w:style w:type="paragraph" w:customStyle="1" w:styleId="6">
    <w:name w:val="List Paragraph1"/>
    <w:basedOn w:val="1"/>
    <w:qFormat/>
    <w:uiPriority w:val="34"/>
    <w:pPr>
      <w:ind w:firstLine="420" w:firstLineChars="2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2024-03-12T01:15:00Z</dcterms:created>
  <dc:creator>administrator</dc:creator>
  <cp:lastModifiedBy>administrator</cp:lastModifiedBy>
  <dcterms:modified xsi:type="dcterms:W3CDTF">2024-03-12T01:15:55Z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FB7ECB99C15B42AA906D279CA5631581_11</vt:lpwstr>
  </property>
</Properties>
</file>